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840E5" w14:textId="6E1A9D0F" w:rsidR="00627040" w:rsidRDefault="0029162D" w:rsidP="0029162D">
      <w:pPr>
        <w:jc w:val="center"/>
      </w:pPr>
      <w:r>
        <w:rPr>
          <w:noProof/>
        </w:rPr>
        <w:drawing>
          <wp:inline distT="0" distB="0" distL="0" distR="0" wp14:anchorId="20E798AD" wp14:editId="761DBE4E">
            <wp:extent cx="2107095" cy="568870"/>
            <wp:effectExtent l="0" t="0" r="1270" b="3175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648" cy="59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  <w:t>Texas Water Conservation Association</w:t>
      </w:r>
    </w:p>
    <w:p w14:paraId="24993477" w14:textId="33D7043E" w:rsidR="0029162D" w:rsidRDefault="0029162D" w:rsidP="0029162D">
      <w:pPr>
        <w:jc w:val="center"/>
      </w:pPr>
      <w:r>
        <w:t>Initiated Efforts of the 86</w:t>
      </w:r>
      <w:r w:rsidRPr="0029162D">
        <w:t xml:space="preserve">th </w:t>
      </w:r>
      <w:r>
        <w:t>Legislative Session</w:t>
      </w:r>
    </w:p>
    <w:p w14:paraId="5ACA99A3" w14:textId="2974D743" w:rsidR="0029162D" w:rsidRDefault="0029162D" w:rsidP="0029162D">
      <w:pPr>
        <w:jc w:val="center"/>
      </w:pPr>
    </w:p>
    <w:p w14:paraId="3B74B5CD" w14:textId="032091BD" w:rsidR="0029162D" w:rsidRDefault="0029162D" w:rsidP="0029162D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333333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</w:rPr>
        <w:t>The 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TWCA Flood Response Committee 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reached consensus on an informational paper about flooding in Texas that was approved by the TWCA Board of Directors, available </w:t>
      </w:r>
      <w:hyperlink r:id="rId6" w:tgtFrame="_blank" w:history="1">
        <w:r>
          <w:rPr>
            <w:rStyle w:val="normaltextrun"/>
            <w:rFonts w:ascii="Calibri" w:hAnsi="Calibri" w:cs="Calibri"/>
            <w:color w:val="00BEE0"/>
            <w:sz w:val="25"/>
            <w:szCs w:val="25"/>
            <w:u w:val="single"/>
          </w:rPr>
          <w:t>here</w:t>
        </w:r>
      </w:hyperlink>
      <w:r>
        <w:rPr>
          <w:rStyle w:val="normaltextrun"/>
          <w:rFonts w:ascii="Calibri" w:hAnsi="Calibri" w:cs="Calibri"/>
          <w:color w:val="333333"/>
          <w:sz w:val="25"/>
          <w:szCs w:val="25"/>
        </w:rPr>
        <w:t>. The committee also supports TWDB's Flood Technical Package exceptional items request of its LAR. The TWCA Flood Response Subcommittee has developed a document outlining its principles on flood-related legislation, available </w:t>
      </w:r>
      <w:hyperlink r:id="rId7" w:tgtFrame="_blank" w:history="1">
        <w:r>
          <w:rPr>
            <w:rStyle w:val="normaltextrun"/>
            <w:rFonts w:ascii="Calibri" w:hAnsi="Calibri" w:cs="Calibri"/>
            <w:color w:val="00BEE0"/>
            <w:sz w:val="25"/>
            <w:szCs w:val="25"/>
            <w:u w:val="single"/>
          </w:rPr>
          <w:t>here</w:t>
        </w:r>
      </w:hyperlink>
      <w:r>
        <w:rPr>
          <w:rStyle w:val="normaltextrun"/>
          <w:rFonts w:ascii="Calibri" w:hAnsi="Calibri" w:cs="Calibri"/>
          <w:color w:val="333333"/>
          <w:sz w:val="25"/>
          <w:szCs w:val="25"/>
        </w:rPr>
        <w:t>. 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These principles are consistent with the flood package (SB 7 and 8, HJR 4, and HB 26) that passed this session.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1383A859" w14:textId="77777777" w:rsidR="0029162D" w:rsidRDefault="0029162D" w:rsidP="002916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</w:p>
    <w:p w14:paraId="076F3CB0" w14:textId="77777777" w:rsidR="0029162D" w:rsidRDefault="0029162D" w:rsidP="002916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</w:rPr>
        <w:t>The 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TWCA Groundwater Committee 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reached consensus on six proposals that have been approved by the TWCA Board of Directors: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5177DCCA" w14:textId="77777777" w:rsidR="0029162D" w:rsidRDefault="0029162D" w:rsidP="002916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  <w:u w:val="single"/>
        </w:rPr>
        <w:t>Brackish Groundwater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: The committee proposed an amended version of HB 2377 (Larson, 85th Legislature).  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This bill passed as HB 722 (Larson/Perry).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7E5E1BB4" w14:textId="77777777" w:rsidR="0029162D" w:rsidRDefault="0029162D" w:rsidP="002916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  <w:u w:val="single"/>
        </w:rPr>
        <w:t>Export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: The committee proposed an amended version of HB 2378 (Larson/Perry, 85th Legislature).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  This bill passed as HB 1066 (Ashby/Perry).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7B59BEED" w14:textId="77777777" w:rsidR="0029162D" w:rsidRDefault="0029162D" w:rsidP="002916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  <w:u w:val="single"/>
        </w:rPr>
        <w:t>Abandoned Wells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: The committee proposed an amended version of HB 3025 (Tracy O. King, 85th Legislature).  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3CFE71B9" w14:textId="77777777" w:rsidR="0029162D" w:rsidRDefault="0029162D" w:rsidP="002916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  <w:u w:val="single"/>
        </w:rPr>
        <w:t>Water Conservation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: The committee proposed new legislation on groundwater conservation districts funding water conservation education.  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085DA824" w14:textId="77777777" w:rsidR="0029162D" w:rsidRDefault="0029162D" w:rsidP="002916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  <w:u w:val="single"/>
        </w:rPr>
        <w:t>SB 1392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: The committee proposed an amended version of SB 1392 (Perry, 85th Legislature). 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0C083011" w14:textId="0E116E63" w:rsidR="0029162D" w:rsidRDefault="0029162D" w:rsidP="0029162D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  <w:u w:val="single"/>
        </w:rPr>
        <w:t>Groundwater Funding Package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: The committee supports TWDB's Groundwater Funding Package exceptional items request of its LAR for funding for groundwater availability modeling and the Brackish Resources Aquifer Characterization System. 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These efforts were funded. 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  <w:r>
        <w:rPr>
          <w:rStyle w:val="eop"/>
          <w:rFonts w:ascii="Calibri" w:hAnsi="Calibri" w:cs="Calibri"/>
          <w:color w:val="333333"/>
          <w:sz w:val="25"/>
          <w:szCs w:val="25"/>
        </w:rPr>
        <w:br/>
      </w:r>
    </w:p>
    <w:p w14:paraId="3128BE7D" w14:textId="31FE911A" w:rsidR="0029162D" w:rsidRDefault="0029162D" w:rsidP="0029162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5"/>
          <w:szCs w:val="25"/>
        </w:rPr>
      </w:pPr>
      <w:r>
        <w:rPr>
          <w:rStyle w:val="normaltextrun"/>
          <w:rFonts w:ascii="Calibri" w:hAnsi="Calibri" w:cs="Calibri"/>
          <w:color w:val="333333"/>
          <w:sz w:val="25"/>
          <w:szCs w:val="25"/>
        </w:rPr>
        <w:t>T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he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 TWCA Surface Water Committee </w:t>
      </w:r>
      <w:r>
        <w:rPr>
          <w:rStyle w:val="normaltextrun"/>
          <w:rFonts w:ascii="Calibri" w:hAnsi="Calibri" w:cs="Calibri"/>
          <w:color w:val="333333"/>
          <w:sz w:val="25"/>
          <w:szCs w:val="25"/>
        </w:rPr>
        <w:t>continued to support funding for updating Water Availability Models at TCEQ. </w:t>
      </w:r>
      <w:r>
        <w:rPr>
          <w:rStyle w:val="normaltextrun"/>
          <w:rFonts w:ascii="Calibri" w:hAnsi="Calibri" w:cs="Calibri"/>
          <w:b/>
          <w:bCs/>
          <w:color w:val="333333"/>
          <w:sz w:val="25"/>
          <w:szCs w:val="25"/>
        </w:rPr>
        <w:t>This effort was funded and passed as HB 723 (Larson/Perry).</w:t>
      </w:r>
      <w:r>
        <w:rPr>
          <w:rStyle w:val="eop"/>
          <w:rFonts w:ascii="Calibri" w:hAnsi="Calibri" w:cs="Calibri"/>
          <w:color w:val="333333"/>
          <w:sz w:val="25"/>
          <w:szCs w:val="25"/>
        </w:rPr>
        <w:t> </w:t>
      </w:r>
    </w:p>
    <w:p w14:paraId="0272DF0A" w14:textId="77777777" w:rsidR="0029162D" w:rsidRDefault="0029162D" w:rsidP="0029162D">
      <w:pPr>
        <w:jc w:val="center"/>
      </w:pPr>
    </w:p>
    <w:p w14:paraId="27FDB722" w14:textId="6A2415EB" w:rsidR="0029162D" w:rsidRDefault="0029162D"/>
    <w:sectPr w:rsidR="0029162D" w:rsidSect="008817D6"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16BBA"/>
    <w:multiLevelType w:val="multilevel"/>
    <w:tmpl w:val="3E0CCF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81417"/>
    <w:multiLevelType w:val="multilevel"/>
    <w:tmpl w:val="C71030CC"/>
    <w:lvl w:ilvl="0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CF198B"/>
    <w:multiLevelType w:val="multilevel"/>
    <w:tmpl w:val="238C06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4DC3059F"/>
    <w:multiLevelType w:val="hybridMultilevel"/>
    <w:tmpl w:val="834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AE41DF"/>
    <w:multiLevelType w:val="multilevel"/>
    <w:tmpl w:val="A11C1F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62D"/>
    <w:rsid w:val="00245D36"/>
    <w:rsid w:val="0029162D"/>
    <w:rsid w:val="004905F5"/>
    <w:rsid w:val="00873703"/>
    <w:rsid w:val="008817D6"/>
    <w:rsid w:val="008D221F"/>
    <w:rsid w:val="009657C3"/>
    <w:rsid w:val="00965995"/>
    <w:rsid w:val="00B82448"/>
    <w:rsid w:val="00F93338"/>
    <w:rsid w:val="00FB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D1DA79"/>
  <w14:defaultImageDpi w14:val="32767"/>
  <w15:chartTrackingRefBased/>
  <w15:docId w15:val="{1BF76BD6-3C93-664F-8F1A-7181A3F8C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16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9162D"/>
  </w:style>
  <w:style w:type="character" w:customStyle="1" w:styleId="eop">
    <w:name w:val="eop"/>
    <w:basedOn w:val="DefaultParagraphFont"/>
    <w:rsid w:val="00291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yR11oMW28hI5f3AGXqotjEmZv49r-o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jiL3tdy75aaevMTy13B1tuTYpz2xQei/vie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Fox</dc:creator>
  <cp:keywords/>
  <dc:description/>
  <cp:lastModifiedBy>Adeline Fox</cp:lastModifiedBy>
  <cp:revision>1</cp:revision>
  <dcterms:created xsi:type="dcterms:W3CDTF">2020-09-29T16:56:00Z</dcterms:created>
  <dcterms:modified xsi:type="dcterms:W3CDTF">2020-09-29T17:01:00Z</dcterms:modified>
</cp:coreProperties>
</file>